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AC" w:rsidRDefault="00D71BAC" w:rsidP="00D71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76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Согласно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п. 9-14 </w:t>
      </w:r>
      <w:r w:rsidRPr="00015769">
        <w:rPr>
          <w:rFonts w:ascii="Times New Roman" w:hAnsi="Times New Roman" w:cs="Times New Roman"/>
          <w:sz w:val="24"/>
          <w:szCs w:val="24"/>
        </w:rPr>
        <w:t>«</w:t>
      </w:r>
      <w:hyperlink r:id="rId4" w:history="1">
        <w:r w:rsidRPr="00015769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015769">
        <w:rPr>
          <w:rFonts w:ascii="Times New Roman" w:hAnsi="Times New Roman" w:cs="Times New Roman"/>
          <w:sz w:val="24"/>
          <w:szCs w:val="24"/>
        </w:rPr>
        <w:t xml:space="preserve"> подключения (технологического присоединения) к системам теплоснабжения, включая правила </w:t>
      </w:r>
      <w:proofErr w:type="spellStart"/>
      <w:r w:rsidRPr="00015769">
        <w:rPr>
          <w:rFonts w:ascii="Times New Roman" w:hAnsi="Times New Roman" w:cs="Times New Roman"/>
          <w:sz w:val="24"/>
          <w:szCs w:val="24"/>
        </w:rPr>
        <w:t>недискриминационного</w:t>
      </w:r>
      <w:proofErr w:type="spellEnd"/>
      <w:r w:rsidRPr="00015769">
        <w:rPr>
          <w:rFonts w:ascii="Times New Roman" w:hAnsi="Times New Roman" w:cs="Times New Roman"/>
          <w:sz w:val="24"/>
          <w:szCs w:val="24"/>
        </w:rPr>
        <w:t xml:space="preserve"> доступа к услугам по подключению (технологическому присоединению) к системам теплоснабжения» ут</w:t>
      </w:r>
      <w:r w:rsidRPr="002E5E9D">
        <w:rPr>
          <w:rFonts w:ascii="Times New Roman" w:hAnsi="Times New Roman" w:cs="Times New Roman"/>
          <w:sz w:val="24"/>
          <w:szCs w:val="24"/>
        </w:rPr>
        <w:t>в. постановлением Правительства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от 30 ноября 2021 г. N 2115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равила подключения):</w:t>
      </w:r>
    </w:p>
    <w:p w:rsidR="00D71BAC" w:rsidRDefault="00D71BAC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9. При подготовке градостроительного плана земельного участка </w:t>
      </w:r>
      <w:r w:rsidRPr="006B6526">
        <w:rPr>
          <w:color w:val="22272F"/>
          <w:sz w:val="23"/>
          <w:szCs w:val="23"/>
          <w:u w:val="single"/>
        </w:rPr>
        <w:t>орган местного самоуправления</w:t>
      </w:r>
      <w:r>
        <w:rPr>
          <w:color w:val="22272F"/>
          <w:sz w:val="23"/>
          <w:szCs w:val="23"/>
        </w:rPr>
        <w:t xml:space="preserve"> в течение 2 рабочих дней </w:t>
      </w:r>
      <w:proofErr w:type="gramStart"/>
      <w:r>
        <w:rPr>
          <w:color w:val="22272F"/>
          <w:sz w:val="23"/>
          <w:szCs w:val="23"/>
        </w:rPr>
        <w:t>с даты получения</w:t>
      </w:r>
      <w:proofErr w:type="gramEnd"/>
      <w:r>
        <w:rPr>
          <w:color w:val="22272F"/>
          <w:sz w:val="23"/>
          <w:szCs w:val="23"/>
        </w:rPr>
        <w:t xml:space="preserve"> заявления о выдаче градостроительного плана земельного участка направляет исполнителю </w:t>
      </w:r>
      <w:r w:rsidRPr="006B6526">
        <w:rPr>
          <w:color w:val="22272F"/>
          <w:sz w:val="23"/>
          <w:szCs w:val="23"/>
          <w:u w:val="single"/>
        </w:rPr>
        <w:t>запрос</w:t>
      </w:r>
      <w:r>
        <w:rPr>
          <w:color w:val="22272F"/>
          <w:sz w:val="23"/>
          <w:szCs w:val="23"/>
        </w:rPr>
        <w:t xml:space="preserve"> о представлении </w:t>
      </w:r>
      <w:r w:rsidRPr="006B6526">
        <w:rPr>
          <w:color w:val="22272F"/>
          <w:sz w:val="23"/>
          <w:szCs w:val="23"/>
          <w:u w:val="single"/>
        </w:rPr>
        <w:t>информации о возможности подключения</w:t>
      </w:r>
      <w:r>
        <w:rPr>
          <w:color w:val="22272F"/>
          <w:sz w:val="23"/>
          <w:szCs w:val="23"/>
        </w:rPr>
        <w:t>. Указанная информация подлежит представлению в орган местного самоуправления в течение 5 рабочих дней с даты, следующей за днем получения такого запроса.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Органы государственной власти или органы местного самоуправления в случаях, предусмотренных </w:t>
      </w:r>
      <w:hyperlink r:id="rId5" w:anchor="/document/12124624/entry/391134" w:history="1">
        <w:r>
          <w:rPr>
            <w:rStyle w:val="a3"/>
            <w:color w:val="3272C0"/>
            <w:sz w:val="23"/>
            <w:szCs w:val="23"/>
            <w:u w:val="none"/>
          </w:rPr>
          <w:t>подпунктом 4 пункта 3</w:t>
        </w:r>
      </w:hyperlink>
      <w:r>
        <w:rPr>
          <w:color w:val="22272F"/>
          <w:sz w:val="23"/>
          <w:szCs w:val="23"/>
        </w:rPr>
        <w:t> и </w:t>
      </w:r>
      <w:hyperlink r:id="rId6" w:anchor="/document/12124624/entry/391148" w:history="1">
        <w:r>
          <w:rPr>
            <w:rStyle w:val="a3"/>
            <w:color w:val="3272C0"/>
            <w:sz w:val="23"/>
            <w:szCs w:val="23"/>
            <w:u w:val="none"/>
          </w:rPr>
          <w:t>подпунктом 8 пункта 4 статьи 39</w:t>
        </w:r>
        <w:r>
          <w:rPr>
            <w:rStyle w:val="a3"/>
            <w:color w:val="3272C0"/>
            <w:sz w:val="16"/>
            <w:szCs w:val="16"/>
            <w:u w:val="none"/>
            <w:vertAlign w:val="superscript"/>
          </w:rPr>
          <w:t> 11</w:t>
        </w:r>
      </w:hyperlink>
      <w:r>
        <w:rPr>
          <w:color w:val="22272F"/>
          <w:sz w:val="23"/>
          <w:szCs w:val="23"/>
        </w:rPr>
        <w:t xml:space="preserve"> Земельного кодекса Российской Федерации, а также </w:t>
      </w:r>
      <w:r w:rsidRPr="006B6526">
        <w:rPr>
          <w:color w:val="22272F"/>
          <w:sz w:val="23"/>
          <w:szCs w:val="23"/>
          <w:u w:val="single"/>
        </w:rPr>
        <w:t>иные лица вправе обратиться</w:t>
      </w:r>
      <w:r>
        <w:rPr>
          <w:color w:val="22272F"/>
          <w:sz w:val="23"/>
          <w:szCs w:val="23"/>
        </w:rPr>
        <w:t xml:space="preserve"> в теплоснабжающую или </w:t>
      </w:r>
      <w:proofErr w:type="spellStart"/>
      <w:r>
        <w:rPr>
          <w:color w:val="22272F"/>
          <w:sz w:val="23"/>
          <w:szCs w:val="23"/>
        </w:rPr>
        <w:t>теплосетевую</w:t>
      </w:r>
      <w:proofErr w:type="spellEnd"/>
      <w:r>
        <w:rPr>
          <w:color w:val="22272F"/>
          <w:sz w:val="23"/>
          <w:szCs w:val="23"/>
        </w:rPr>
        <w:t xml:space="preserve"> организацию, определенную в соответствии с </w:t>
      </w:r>
      <w:hyperlink r:id="rId7" w:anchor="/document/403138105/entry/1004" w:history="1">
        <w:r>
          <w:rPr>
            <w:rStyle w:val="a3"/>
            <w:color w:val="3272C0"/>
            <w:sz w:val="23"/>
            <w:szCs w:val="23"/>
            <w:u w:val="none"/>
          </w:rPr>
          <w:t>пунктом 4</w:t>
        </w:r>
      </w:hyperlink>
      <w:r>
        <w:rPr>
          <w:color w:val="22272F"/>
          <w:sz w:val="23"/>
          <w:szCs w:val="23"/>
        </w:rPr>
        <w:t xml:space="preserve"> настоящих Правил, </w:t>
      </w:r>
      <w:r w:rsidRPr="006B6526">
        <w:rPr>
          <w:color w:val="22272F"/>
          <w:sz w:val="23"/>
          <w:szCs w:val="23"/>
          <w:u w:val="single"/>
        </w:rPr>
        <w:t>с запросом о предоставлении информации о возможности подключения</w:t>
      </w:r>
      <w:r>
        <w:rPr>
          <w:color w:val="22272F"/>
          <w:sz w:val="23"/>
          <w:szCs w:val="23"/>
        </w:rPr>
        <w:t xml:space="preserve"> в целях, не связанных с подготовкой градостроительного</w:t>
      </w:r>
      <w:proofErr w:type="gramEnd"/>
      <w:r>
        <w:rPr>
          <w:color w:val="22272F"/>
          <w:sz w:val="23"/>
          <w:szCs w:val="23"/>
        </w:rPr>
        <w:t xml:space="preserve"> плана земельного участка.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10. Запрос о предоставлении информации о возможности подключения в целях, не связанных с подготовкой градостроительного плана земельного участка, должен содержать: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наименование лица, направившего запрос, его местонахождение, почтовый адрес;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</w:t>
      </w:r>
      <w:r w:rsidRPr="006B6526">
        <w:rPr>
          <w:color w:val="22272F"/>
          <w:sz w:val="23"/>
          <w:szCs w:val="23"/>
          <w:u w:val="single"/>
        </w:rPr>
        <w:t>копии правоустанавливающих документов</w:t>
      </w:r>
      <w:r>
        <w:rPr>
          <w:color w:val="22272F"/>
          <w:sz w:val="23"/>
          <w:szCs w:val="23"/>
        </w:rPr>
        <w:t xml:space="preserve">, подтверждающих право собственности или иное законное право заявителя на земельный участок, </w:t>
      </w:r>
      <w:proofErr w:type="gramStart"/>
      <w:r>
        <w:rPr>
          <w:color w:val="22272F"/>
          <w:sz w:val="23"/>
          <w:szCs w:val="23"/>
        </w:rPr>
        <w:t>права</w:t>
      </w:r>
      <w:proofErr w:type="gramEnd"/>
      <w:r>
        <w:rPr>
          <w:color w:val="22272F"/>
          <w:sz w:val="23"/>
          <w:szCs w:val="23"/>
        </w:rP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</w:t>
      </w:r>
      <w:r w:rsidRPr="006B6526">
        <w:rPr>
          <w:color w:val="22272F"/>
          <w:sz w:val="23"/>
          <w:szCs w:val="23"/>
          <w:u w:val="single"/>
        </w:rPr>
        <w:t>с датой выдачи не ранее 30 дней</w:t>
      </w:r>
      <w:r>
        <w:rPr>
          <w:color w:val="22272F"/>
          <w:sz w:val="23"/>
          <w:szCs w:val="23"/>
        </w:rPr>
        <w:t xml:space="preserve">), </w:t>
      </w:r>
      <w:r w:rsidRPr="006B6526">
        <w:rPr>
          <w:color w:val="22272F"/>
          <w:sz w:val="23"/>
          <w:szCs w:val="23"/>
          <w:u w:val="single"/>
        </w:rPr>
        <w:t>заверенные заявителем (при наличии)</w:t>
      </w:r>
      <w:r>
        <w:rPr>
          <w:color w:val="22272F"/>
          <w:sz w:val="23"/>
          <w:szCs w:val="23"/>
        </w:rPr>
        <w:t>;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</w:t>
      </w:r>
      <w:r w:rsidRPr="006B6526">
        <w:rPr>
          <w:color w:val="22272F"/>
          <w:sz w:val="23"/>
          <w:szCs w:val="23"/>
          <w:u w:val="single"/>
        </w:rPr>
        <w:t>необходимую суммарную тепловую нагрузку по видам теплопотребления</w:t>
      </w:r>
      <w:r>
        <w:rPr>
          <w:color w:val="22272F"/>
          <w:sz w:val="23"/>
          <w:szCs w:val="23"/>
        </w:rPr>
        <w:t xml:space="preserve"> (технологические нужды, отопление, вентиляцию, кондиционирование воздуха и горячее водоснабжение) и параметры теплоносителей (давление и температура);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</w:t>
      </w:r>
      <w:r w:rsidRPr="006B6526">
        <w:rPr>
          <w:color w:val="22272F"/>
          <w:sz w:val="23"/>
          <w:szCs w:val="23"/>
          <w:u w:val="single"/>
        </w:rPr>
        <w:t xml:space="preserve">режимы теплопотребления </w:t>
      </w:r>
      <w:r>
        <w:rPr>
          <w:color w:val="22272F"/>
          <w:sz w:val="23"/>
          <w:szCs w:val="23"/>
        </w:rPr>
        <w:t>для подключаемого объекта (непрерывный, одно-, двухсменный и др.);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-информацию </w:t>
      </w:r>
      <w:r w:rsidRPr="006B6526">
        <w:rPr>
          <w:color w:val="22272F"/>
          <w:sz w:val="23"/>
          <w:szCs w:val="23"/>
          <w:u w:val="single"/>
        </w:rPr>
        <w:t>о границах земельного участка</w:t>
      </w:r>
      <w:r>
        <w:rPr>
          <w:color w:val="22272F"/>
          <w:sz w:val="23"/>
          <w:szCs w:val="23"/>
        </w:rPr>
        <w:t>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-информацию о </w:t>
      </w:r>
      <w:r w:rsidRPr="006B6526">
        <w:rPr>
          <w:color w:val="22272F"/>
          <w:sz w:val="23"/>
          <w:szCs w:val="23"/>
          <w:u w:val="single"/>
        </w:rPr>
        <w:t>разрешенном использовании</w:t>
      </w:r>
      <w:r>
        <w:rPr>
          <w:color w:val="22272F"/>
          <w:sz w:val="23"/>
          <w:szCs w:val="23"/>
        </w:rPr>
        <w:t xml:space="preserve"> земельного участка;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</w:t>
      </w:r>
      <w:r w:rsidRPr="006B6526">
        <w:rPr>
          <w:color w:val="22272F"/>
          <w:sz w:val="23"/>
          <w:szCs w:val="23"/>
          <w:u w:val="single"/>
        </w:rPr>
        <w:t>срок</w:t>
      </w:r>
      <w:r>
        <w:rPr>
          <w:color w:val="22272F"/>
          <w:sz w:val="23"/>
          <w:szCs w:val="23"/>
        </w:rPr>
        <w:t xml:space="preserve">, в течение которого правообладатель земельного участка или подключаемого объекта капитального строительства </w:t>
      </w:r>
      <w:r w:rsidRPr="006B6526">
        <w:rPr>
          <w:color w:val="22272F"/>
          <w:sz w:val="23"/>
          <w:szCs w:val="23"/>
          <w:u w:val="single"/>
        </w:rPr>
        <w:t>планирует обратиться</w:t>
      </w:r>
      <w:r>
        <w:rPr>
          <w:color w:val="22272F"/>
          <w:sz w:val="23"/>
          <w:szCs w:val="23"/>
        </w:rPr>
        <w:t xml:space="preserve"> к теплоснабжающей или </w:t>
      </w:r>
      <w:proofErr w:type="spellStart"/>
      <w:r>
        <w:rPr>
          <w:color w:val="22272F"/>
          <w:sz w:val="23"/>
          <w:szCs w:val="23"/>
        </w:rPr>
        <w:t>теплосетевой</w:t>
      </w:r>
      <w:proofErr w:type="spellEnd"/>
      <w:r>
        <w:rPr>
          <w:color w:val="22272F"/>
          <w:sz w:val="23"/>
          <w:szCs w:val="23"/>
        </w:rPr>
        <w:t xml:space="preserve"> организации в целях заключения договора о </w:t>
      </w:r>
      <w:r w:rsidRPr="006B6526">
        <w:rPr>
          <w:color w:val="22272F"/>
          <w:sz w:val="23"/>
          <w:szCs w:val="23"/>
          <w:u w:val="single"/>
        </w:rPr>
        <w:t>подключении</w:t>
      </w:r>
      <w:r>
        <w:rPr>
          <w:color w:val="22272F"/>
          <w:sz w:val="23"/>
          <w:szCs w:val="23"/>
        </w:rPr>
        <w:t xml:space="preserve"> в отношении запрашиваемых тепловых нагрузок. Указанный срок </w:t>
      </w:r>
      <w:r w:rsidRPr="006B6526">
        <w:rPr>
          <w:color w:val="22272F"/>
          <w:sz w:val="23"/>
          <w:szCs w:val="23"/>
          <w:u w:val="single"/>
        </w:rPr>
        <w:t>не может составлять менее 3 месяцев</w:t>
      </w:r>
      <w:r>
        <w:rPr>
          <w:color w:val="22272F"/>
          <w:sz w:val="23"/>
          <w:szCs w:val="23"/>
        </w:rPr>
        <w:t xml:space="preserve"> со дня предоставления исполнителем информации о возможности подключения</w:t>
      </w:r>
      <w:r w:rsidRPr="006B6526"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(технологического присоединения) объектов капитального строительства к сетям теплоснабжения.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 xml:space="preserve">11. </w:t>
      </w:r>
      <w:proofErr w:type="gramStart"/>
      <w:r>
        <w:rPr>
          <w:color w:val="22272F"/>
          <w:sz w:val="23"/>
          <w:szCs w:val="23"/>
        </w:rPr>
        <w:t xml:space="preserve">При </w:t>
      </w:r>
      <w:r w:rsidRPr="006B6526">
        <w:rPr>
          <w:color w:val="22272F"/>
          <w:sz w:val="23"/>
          <w:szCs w:val="23"/>
          <w:u w:val="single"/>
        </w:rPr>
        <w:t>предоставлении сведений и документов</w:t>
      </w:r>
      <w:r>
        <w:rPr>
          <w:color w:val="22272F"/>
          <w:sz w:val="23"/>
          <w:szCs w:val="23"/>
        </w:rPr>
        <w:t>, указанных в </w:t>
      </w:r>
      <w:hyperlink r:id="rId8" w:anchor="/document/403138105/entry/1010" w:history="1">
        <w:r>
          <w:rPr>
            <w:rStyle w:val="a3"/>
            <w:color w:val="3272C0"/>
            <w:sz w:val="23"/>
            <w:szCs w:val="23"/>
            <w:u w:val="none"/>
          </w:rPr>
          <w:t>пункте 10</w:t>
        </w:r>
      </w:hyperlink>
      <w:r>
        <w:rPr>
          <w:color w:val="22272F"/>
          <w:sz w:val="23"/>
          <w:szCs w:val="23"/>
        </w:rPr>
        <w:t xml:space="preserve"> настоящих Правил, в полном объеме теплоснабжающие и </w:t>
      </w:r>
      <w:proofErr w:type="spellStart"/>
      <w:r>
        <w:rPr>
          <w:color w:val="22272F"/>
          <w:sz w:val="23"/>
          <w:szCs w:val="23"/>
        </w:rPr>
        <w:t>теплосетевые</w:t>
      </w:r>
      <w:proofErr w:type="spellEnd"/>
      <w:r>
        <w:rPr>
          <w:color w:val="22272F"/>
          <w:sz w:val="23"/>
          <w:szCs w:val="23"/>
        </w:rPr>
        <w:t xml:space="preserve"> организации обязаны предоставить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случае, указанном в </w:t>
      </w:r>
      <w:hyperlink r:id="rId9" w:anchor="/document/403138105/entry/1014" w:history="1">
        <w:r>
          <w:rPr>
            <w:rStyle w:val="a3"/>
            <w:color w:val="3272C0"/>
            <w:sz w:val="23"/>
            <w:szCs w:val="23"/>
            <w:u w:val="none"/>
          </w:rPr>
          <w:t>пункте 14</w:t>
        </w:r>
      </w:hyperlink>
      <w:r>
        <w:rPr>
          <w:color w:val="22272F"/>
          <w:sz w:val="23"/>
          <w:szCs w:val="23"/>
        </w:rPr>
        <w:t xml:space="preserve"> настоящих Правил, </w:t>
      </w:r>
      <w:r w:rsidRPr="006B6526">
        <w:rPr>
          <w:color w:val="22272F"/>
          <w:sz w:val="23"/>
          <w:szCs w:val="23"/>
          <w:u w:val="single"/>
        </w:rPr>
        <w:t>в течение 5 рабочих</w:t>
      </w:r>
      <w:r>
        <w:rPr>
          <w:color w:val="22272F"/>
          <w:sz w:val="23"/>
          <w:szCs w:val="23"/>
        </w:rPr>
        <w:t xml:space="preserve"> дней со дня получения запроса о предоставлении информации о возможности подключения</w:t>
      </w:r>
      <w:proofErr w:type="gramEnd"/>
      <w:r>
        <w:rPr>
          <w:color w:val="22272F"/>
          <w:sz w:val="23"/>
          <w:szCs w:val="23"/>
        </w:rPr>
        <w:t xml:space="preserve"> от органов государственной власти или органов местного самоуправления и </w:t>
      </w:r>
      <w:r w:rsidRPr="006B6526">
        <w:rPr>
          <w:color w:val="22272F"/>
          <w:sz w:val="23"/>
          <w:szCs w:val="23"/>
          <w:u w:val="single"/>
        </w:rPr>
        <w:t>в течение 10 рабочих</w:t>
      </w:r>
      <w:r>
        <w:rPr>
          <w:color w:val="22272F"/>
          <w:sz w:val="23"/>
          <w:szCs w:val="23"/>
        </w:rPr>
        <w:t xml:space="preserve"> дней со дня получения запроса о предоставлении информации о возможности подключения </w:t>
      </w:r>
      <w:r w:rsidRPr="006B6526">
        <w:rPr>
          <w:color w:val="22272F"/>
          <w:sz w:val="23"/>
          <w:szCs w:val="23"/>
          <w:u w:val="single"/>
        </w:rPr>
        <w:t>от иных лиц</w:t>
      </w:r>
      <w:r>
        <w:rPr>
          <w:color w:val="22272F"/>
          <w:sz w:val="23"/>
          <w:szCs w:val="23"/>
        </w:rPr>
        <w:t>.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В случае </w:t>
      </w:r>
      <w:r w:rsidRPr="006B6526">
        <w:rPr>
          <w:color w:val="22272F"/>
          <w:sz w:val="23"/>
          <w:szCs w:val="23"/>
          <w:u w:val="single"/>
        </w:rPr>
        <w:t>непредставления</w:t>
      </w:r>
      <w:r>
        <w:rPr>
          <w:color w:val="22272F"/>
          <w:sz w:val="23"/>
          <w:szCs w:val="23"/>
        </w:rPr>
        <w:t xml:space="preserve"> обратившимся лицом </w:t>
      </w:r>
      <w:r w:rsidRPr="006B6526">
        <w:rPr>
          <w:color w:val="22272F"/>
          <w:sz w:val="23"/>
          <w:szCs w:val="23"/>
          <w:u w:val="single"/>
        </w:rPr>
        <w:t>сведений и документов</w:t>
      </w:r>
      <w:r>
        <w:rPr>
          <w:color w:val="22272F"/>
          <w:sz w:val="23"/>
          <w:szCs w:val="23"/>
        </w:rPr>
        <w:t>, указанных в </w:t>
      </w:r>
      <w:hyperlink r:id="rId10" w:anchor="/document/403138105/entry/1010" w:history="1">
        <w:r>
          <w:rPr>
            <w:rStyle w:val="a3"/>
            <w:color w:val="3272C0"/>
            <w:sz w:val="23"/>
            <w:szCs w:val="23"/>
            <w:u w:val="none"/>
          </w:rPr>
          <w:t>пункте 10</w:t>
        </w:r>
      </w:hyperlink>
      <w:r>
        <w:rPr>
          <w:color w:val="22272F"/>
          <w:sz w:val="23"/>
          <w:szCs w:val="23"/>
        </w:rPr>
        <w:t xml:space="preserve"> настоящих Правил, в полном объеме исполнитель направляет заявителю </w:t>
      </w:r>
      <w:r w:rsidRPr="006B6526">
        <w:rPr>
          <w:color w:val="22272F"/>
          <w:sz w:val="23"/>
          <w:szCs w:val="23"/>
          <w:u w:val="single"/>
        </w:rPr>
        <w:t>отказ</w:t>
      </w:r>
      <w:r>
        <w:rPr>
          <w:color w:val="22272F"/>
          <w:sz w:val="23"/>
          <w:szCs w:val="23"/>
        </w:rPr>
        <w:t xml:space="preserve"> в предоставлении информации о возможности подключения </w:t>
      </w:r>
      <w:r w:rsidRPr="006B6526">
        <w:rPr>
          <w:color w:val="22272F"/>
          <w:sz w:val="23"/>
          <w:szCs w:val="23"/>
          <w:u w:val="single"/>
        </w:rPr>
        <w:t>в течение 3 рабочих дней</w:t>
      </w:r>
      <w:r>
        <w:rPr>
          <w:color w:val="22272F"/>
          <w:sz w:val="23"/>
          <w:szCs w:val="23"/>
        </w:rPr>
        <w:t xml:space="preserve"> со дня получения запроса о предоставлении информации о возможности подключения объекта.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12. Информация о возможности подключения объекта капитального строительства должна содержать следующие данные: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-Сведения о наличии или об отсутствии технической возможности подключения;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</w:t>
      </w:r>
      <w:r w:rsidRPr="006B6526">
        <w:rPr>
          <w:color w:val="22272F"/>
          <w:sz w:val="23"/>
          <w:szCs w:val="23"/>
          <w:u w:val="single"/>
        </w:rPr>
        <w:t>тепловая нагрузка, указанная в запросе</w:t>
      </w:r>
      <w:r>
        <w:rPr>
          <w:color w:val="22272F"/>
          <w:sz w:val="23"/>
          <w:szCs w:val="23"/>
        </w:rPr>
        <w:t xml:space="preserve"> о выдаче информации о возможности подключения объекта капитального строительства в соответствии с </w:t>
      </w:r>
      <w:hyperlink r:id="rId11" w:anchor="/document/403138105/entry/10104" w:history="1">
        <w:r>
          <w:rPr>
            <w:rStyle w:val="a3"/>
            <w:color w:val="3272C0"/>
            <w:sz w:val="23"/>
            <w:szCs w:val="23"/>
            <w:u w:val="none"/>
          </w:rPr>
          <w:t>абзацем четвертым пункта 10</w:t>
        </w:r>
      </w:hyperlink>
      <w:r>
        <w:rPr>
          <w:color w:val="22272F"/>
          <w:sz w:val="23"/>
          <w:szCs w:val="23"/>
        </w:rPr>
        <w:t xml:space="preserve"> настоящих Правил, или </w:t>
      </w:r>
      <w:r w:rsidRPr="006B6526">
        <w:rPr>
          <w:color w:val="22272F"/>
          <w:sz w:val="23"/>
          <w:szCs w:val="23"/>
          <w:u w:val="single"/>
        </w:rPr>
        <w:t>в случае поступления запроса от органа местного самоуправления</w:t>
      </w:r>
      <w:r>
        <w:rPr>
          <w:color w:val="22272F"/>
          <w:sz w:val="23"/>
          <w:szCs w:val="23"/>
        </w:rPr>
        <w:t xml:space="preserve"> в целях подготовки градостроительного плана земельного участка </w:t>
      </w:r>
      <w:r w:rsidRPr="006B6526">
        <w:rPr>
          <w:color w:val="22272F"/>
          <w:sz w:val="23"/>
          <w:szCs w:val="23"/>
          <w:u w:val="single"/>
        </w:rPr>
        <w:t>сведения о максимальной нагрузке в возможных точках подключения</w:t>
      </w:r>
      <w:r>
        <w:rPr>
          <w:color w:val="22272F"/>
          <w:sz w:val="23"/>
          <w:szCs w:val="23"/>
        </w:rPr>
        <w:t>;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</w:t>
      </w:r>
      <w:r w:rsidRPr="006B6526">
        <w:rPr>
          <w:color w:val="22272F"/>
          <w:sz w:val="23"/>
          <w:szCs w:val="23"/>
          <w:u w:val="single"/>
        </w:rPr>
        <w:t>срок подключения</w:t>
      </w:r>
      <w:r>
        <w:rPr>
          <w:color w:val="22272F"/>
          <w:sz w:val="23"/>
          <w:szCs w:val="23"/>
        </w:rPr>
        <w:t xml:space="preserve"> объекта к системе теплоснабжения, </w:t>
      </w:r>
      <w:proofErr w:type="gramStart"/>
      <w:r>
        <w:rPr>
          <w:color w:val="22272F"/>
          <w:sz w:val="23"/>
          <w:szCs w:val="23"/>
        </w:rPr>
        <w:t>определяемый</w:t>
      </w:r>
      <w:proofErr w:type="gramEnd"/>
      <w:r>
        <w:rPr>
          <w:color w:val="22272F"/>
          <w:sz w:val="23"/>
          <w:szCs w:val="23"/>
        </w:rPr>
        <w:t xml:space="preserve"> в том числе в зависимости от сроков реализации инвестиционных программ (за исключением случаев предоставления информации для целей выдачи градостроительного плана земельного участка в соответствии с </w:t>
      </w:r>
      <w:hyperlink r:id="rId12" w:anchor="/document/403138105/entry/1009" w:history="1">
        <w:r>
          <w:rPr>
            <w:rStyle w:val="a3"/>
            <w:color w:val="3272C0"/>
            <w:sz w:val="23"/>
            <w:szCs w:val="23"/>
            <w:u w:val="none"/>
          </w:rPr>
          <w:t>абзацем первым пункта 9</w:t>
        </w:r>
      </w:hyperlink>
      <w:r>
        <w:rPr>
          <w:color w:val="22272F"/>
          <w:sz w:val="23"/>
          <w:szCs w:val="23"/>
        </w:rPr>
        <w:t> настоящих Правил);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-информация </w:t>
      </w:r>
      <w:r w:rsidRPr="006B6526">
        <w:rPr>
          <w:color w:val="22272F"/>
          <w:sz w:val="23"/>
          <w:szCs w:val="23"/>
          <w:u w:val="single"/>
        </w:rPr>
        <w:t>о прекращении обязательств</w:t>
      </w:r>
      <w:r>
        <w:rPr>
          <w:color w:val="22272F"/>
          <w:sz w:val="23"/>
          <w:szCs w:val="23"/>
        </w:rPr>
        <w:t xml:space="preserve"> организации, предоставившей информацию о возможности подключения, если заявитель в </w:t>
      </w:r>
      <w:r w:rsidRPr="006B6526">
        <w:rPr>
          <w:color w:val="22272F"/>
          <w:sz w:val="23"/>
          <w:szCs w:val="23"/>
          <w:u w:val="single"/>
        </w:rPr>
        <w:t xml:space="preserve">течение 4 месяцев </w:t>
      </w:r>
      <w:proofErr w:type="gramStart"/>
      <w:r w:rsidRPr="006B6526">
        <w:rPr>
          <w:color w:val="22272F"/>
          <w:sz w:val="23"/>
          <w:szCs w:val="23"/>
          <w:u w:val="single"/>
        </w:rPr>
        <w:t>с даты выдачи</w:t>
      </w:r>
      <w:proofErr w:type="gramEnd"/>
      <w:r>
        <w:rPr>
          <w:color w:val="22272F"/>
          <w:sz w:val="23"/>
          <w:szCs w:val="23"/>
        </w:rPr>
        <w:t xml:space="preserve"> указанной информации </w:t>
      </w:r>
      <w:r w:rsidRPr="006B6526">
        <w:rPr>
          <w:color w:val="22272F"/>
          <w:sz w:val="23"/>
          <w:szCs w:val="23"/>
          <w:u w:val="single"/>
        </w:rPr>
        <w:t>не подаст заявку на заключение договора о подключении</w:t>
      </w:r>
      <w:r>
        <w:rPr>
          <w:color w:val="22272F"/>
          <w:sz w:val="23"/>
          <w:szCs w:val="23"/>
        </w:rPr>
        <w:t xml:space="preserve"> (</w:t>
      </w:r>
      <w:r w:rsidRPr="006B6526">
        <w:rPr>
          <w:color w:val="22272F"/>
          <w:sz w:val="23"/>
          <w:szCs w:val="23"/>
          <w:u w:val="single"/>
        </w:rPr>
        <w:t>за исключением</w:t>
      </w:r>
      <w:r>
        <w:rPr>
          <w:color w:val="22272F"/>
          <w:sz w:val="23"/>
          <w:szCs w:val="23"/>
        </w:rPr>
        <w:t xml:space="preserve"> случаев предоставления информации </w:t>
      </w:r>
      <w:r w:rsidRPr="006B6526">
        <w:rPr>
          <w:color w:val="22272F"/>
          <w:sz w:val="23"/>
          <w:szCs w:val="23"/>
          <w:u w:val="single"/>
        </w:rPr>
        <w:t>для целей выдачи градостроительного плана</w:t>
      </w:r>
      <w:r>
        <w:rPr>
          <w:color w:val="22272F"/>
          <w:sz w:val="23"/>
          <w:szCs w:val="23"/>
        </w:rPr>
        <w:t xml:space="preserve"> земельного участка в соответствии с </w:t>
      </w:r>
      <w:hyperlink r:id="rId13" w:anchor="/document/403138105/entry/1009" w:history="1">
        <w:r>
          <w:rPr>
            <w:rStyle w:val="a3"/>
            <w:color w:val="3272C0"/>
            <w:sz w:val="23"/>
            <w:szCs w:val="23"/>
            <w:u w:val="none"/>
          </w:rPr>
          <w:t>абзацем первым пункта 9</w:t>
        </w:r>
      </w:hyperlink>
      <w:r>
        <w:rPr>
          <w:color w:val="22272F"/>
          <w:sz w:val="23"/>
          <w:szCs w:val="23"/>
        </w:rPr>
        <w:t> настоящих Правил).</w:t>
      </w:r>
    </w:p>
    <w:p w:rsidR="006B6526" w:rsidRP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  <w:u w:val="single"/>
        </w:rPr>
      </w:pPr>
      <w:proofErr w:type="gramStart"/>
      <w:r w:rsidRPr="006B6526">
        <w:rPr>
          <w:color w:val="22272F"/>
          <w:sz w:val="23"/>
          <w:szCs w:val="23"/>
          <w:u w:val="single"/>
        </w:rPr>
        <w:t>Тепловая нагрузка, содержащаяся в информации о возможности подключения</w:t>
      </w:r>
      <w:r>
        <w:rPr>
          <w:color w:val="22272F"/>
          <w:sz w:val="23"/>
          <w:szCs w:val="23"/>
        </w:rPr>
        <w:t>, выдаваемой по запросу органа местного самоуправления в целях подготовки градостроительного плана земельного участка или выдаваемой по запросу иных организаций, не указанных в </w:t>
      </w:r>
      <w:hyperlink r:id="rId14" w:anchor="/document/403138105/entry/1022" w:history="1">
        <w:r>
          <w:rPr>
            <w:rStyle w:val="a3"/>
            <w:color w:val="3272C0"/>
            <w:sz w:val="23"/>
            <w:szCs w:val="23"/>
            <w:u w:val="none"/>
          </w:rPr>
          <w:t>пункте 22</w:t>
        </w:r>
      </w:hyperlink>
      <w:r>
        <w:rPr>
          <w:color w:val="22272F"/>
          <w:sz w:val="23"/>
          <w:szCs w:val="23"/>
        </w:rPr>
        <w:t> настоящих Правил, а также выдаваемой при повторном обращении иных заявителей о выдаче информации о возможности подключения в отношении одного и того же объекта и (или) земельного участка</w:t>
      </w:r>
      <w:r w:rsidRPr="006B6526">
        <w:rPr>
          <w:color w:val="22272F"/>
          <w:sz w:val="23"/>
          <w:szCs w:val="23"/>
          <w:u w:val="single"/>
        </w:rPr>
        <w:t>, не</w:t>
      </w:r>
      <w:proofErr w:type="gramEnd"/>
      <w:r w:rsidRPr="006B6526">
        <w:rPr>
          <w:color w:val="22272F"/>
          <w:sz w:val="23"/>
          <w:szCs w:val="23"/>
          <w:u w:val="single"/>
        </w:rPr>
        <w:t xml:space="preserve"> учитывается при определении </w:t>
      </w:r>
      <w:hyperlink r:id="rId15" w:anchor="/document/403138105/entry/100206" w:history="1">
        <w:r w:rsidRPr="006B6526">
          <w:rPr>
            <w:rStyle w:val="a3"/>
            <w:color w:val="3272C0"/>
            <w:sz w:val="23"/>
            <w:szCs w:val="23"/>
          </w:rPr>
          <w:t>резерва пропускной способности тепловых сетей</w:t>
        </w:r>
      </w:hyperlink>
      <w:r>
        <w:rPr>
          <w:color w:val="22272F"/>
          <w:sz w:val="23"/>
          <w:szCs w:val="23"/>
        </w:rPr>
        <w:t> и (или) </w:t>
      </w:r>
      <w:hyperlink r:id="rId16" w:anchor="/document/403138105/entry/100207" w:history="1">
        <w:r>
          <w:rPr>
            <w:rStyle w:val="a3"/>
            <w:color w:val="3272C0"/>
            <w:sz w:val="23"/>
            <w:szCs w:val="23"/>
            <w:u w:val="none"/>
          </w:rPr>
          <w:t>резерва мощности источника тепловой энергии</w:t>
        </w:r>
      </w:hyperlink>
      <w:r>
        <w:rPr>
          <w:color w:val="22272F"/>
          <w:sz w:val="23"/>
          <w:szCs w:val="23"/>
        </w:rPr>
        <w:t xml:space="preserve"> и </w:t>
      </w:r>
      <w:r w:rsidRPr="006B6526">
        <w:rPr>
          <w:color w:val="22272F"/>
          <w:sz w:val="23"/>
          <w:szCs w:val="23"/>
          <w:u w:val="single"/>
        </w:rPr>
        <w:t>не формирует обязательств у организации, выдавшей указанную информацию.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13. Выдача информации о возможности подключения объекта капитального строительства осуществляется без взимания платы.</w:t>
      </w:r>
    </w:p>
    <w:p w:rsidR="006B6526" w:rsidRDefault="006B6526" w:rsidP="006B652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14. Нахождение объекта вне </w:t>
      </w:r>
      <w:r w:rsidRPr="006B6526">
        <w:rPr>
          <w:color w:val="22272F"/>
          <w:sz w:val="23"/>
          <w:szCs w:val="23"/>
          <w:u w:val="single"/>
        </w:rPr>
        <w:t>радиуса эффективного теплоснабжения</w:t>
      </w:r>
      <w:r>
        <w:rPr>
          <w:color w:val="22272F"/>
          <w:sz w:val="23"/>
          <w:szCs w:val="23"/>
        </w:rPr>
        <w:t xml:space="preserve">, предоставление недостоверных сведений и (или) документов </w:t>
      </w:r>
      <w:r w:rsidRPr="006B6526">
        <w:rPr>
          <w:color w:val="22272F"/>
          <w:sz w:val="23"/>
          <w:szCs w:val="23"/>
          <w:u w:val="single"/>
        </w:rPr>
        <w:t>является основанием для отказа</w:t>
      </w:r>
      <w:r>
        <w:rPr>
          <w:color w:val="22272F"/>
          <w:sz w:val="23"/>
          <w:szCs w:val="23"/>
        </w:rPr>
        <w:t xml:space="preserve"> в выдаче информации о возможности подключения объекта капитального строительства.</w:t>
      </w:r>
    </w:p>
    <w:p w:rsidR="00A62E26" w:rsidRDefault="00A62E26"/>
    <w:sectPr w:rsidR="00A62E26" w:rsidSect="00A6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526"/>
    <w:rsid w:val="005C4A30"/>
    <w:rsid w:val="006B6526"/>
    <w:rsid w:val="00961840"/>
    <w:rsid w:val="00A62E26"/>
    <w:rsid w:val="00D7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65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ref=69E5A2EEE50BB1A1322FAE9B4A1C34E49EDB1EFC6A91EBBF341520270CFB785B13C677DEE25462DE52E7FF6DA011D5BF7576A9197FC760FDO6U2E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1095</Words>
  <Characters>6242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Красноперова Инесса Михайловна</dc:creator>
  <cp:keywords/>
  <dc:description/>
  <cp:lastModifiedBy>Красноперова Инесса Михайловна</cp:lastModifiedBy>
  <cp:revision>4</cp:revision>
  <cp:lastPrinted>2022-03-24T03:33:00Z</cp:lastPrinted>
  <dcterms:created xsi:type="dcterms:W3CDTF">2022-03-24T03:23:00Z</dcterms:created>
  <dcterms:modified xsi:type="dcterms:W3CDTF">2023-07-17T12:23:00Z</dcterms:modified>
</cp:coreProperties>
</file>